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8E682F">
            <w:pPr>
              <w:pStyle w:val="Heading5"/>
              <w:tabs>
                <w:tab w:val="center" w:pos="1680"/>
                <w:tab w:val="center" w:pos="6240"/>
              </w:tabs>
              <w:jc w:val="center"/>
              <w:rPr>
                <w:sz w:val="26"/>
              </w:rPr>
            </w:pPr>
            <w:r>
              <w:rPr>
                <w:sz w:val="26"/>
              </w:rPr>
              <w:t>HỘI ĐỒNG THUỐC VÀ ĐIỀU TRỊ</w:t>
            </w:r>
          </w:p>
          <w:p w:rsidR="00C84310" w:rsidRPr="002F4532" w:rsidRDefault="00410FA1" w:rsidP="008E682F">
            <w:pPr>
              <w:jc w:val="center"/>
              <w:rPr>
                <w:b/>
              </w:rPr>
            </w:pPr>
            <w:r>
              <w:rPr>
                <w:noProof/>
                <w:spacing w:val="-10"/>
                <w:sz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8.95pt;margin-top:17.1pt;width:6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8E682F">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410FA1" w:rsidP="008E682F">
            <w:pPr>
              <w:pStyle w:val="Heading5"/>
              <w:tabs>
                <w:tab w:val="center" w:pos="1680"/>
                <w:tab w:val="center" w:pos="6240"/>
              </w:tabs>
              <w:jc w:val="center"/>
              <w:rPr>
                <w:b/>
                <w:spacing w:val="-10"/>
                <w:sz w:val="26"/>
              </w:rPr>
            </w:pPr>
            <w:r>
              <w:rPr>
                <w:b/>
                <w:noProof/>
                <w:spacing w:val="-10"/>
              </w:rPr>
              <w:pict>
                <v:shape id="Straight Arrow Connector 1" o:spid="_x0000_s1027" type="#_x0000_t32" style="position:absolute;left:0;text-align:left;margin-left:55.25pt;margin-top:14.85pt;width:15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8E682F">
            <w:pPr>
              <w:pStyle w:val="Heading5"/>
              <w:tabs>
                <w:tab w:val="center" w:pos="1680"/>
                <w:tab w:val="center" w:pos="6240"/>
              </w:tabs>
              <w:jc w:val="center"/>
              <w:rPr>
                <w:spacing w:val="-10"/>
                <w:sz w:val="26"/>
              </w:rPr>
            </w:pPr>
          </w:p>
        </w:tc>
      </w:tr>
    </w:tbl>
    <w:p w:rsidR="004B36CA" w:rsidRDefault="005B110A" w:rsidP="004B36CA">
      <w:pPr>
        <w:ind w:left="1440" w:firstLine="720"/>
        <w:rPr>
          <w:b/>
          <w:szCs w:val="28"/>
        </w:rPr>
      </w:pPr>
      <w:r>
        <w:rPr>
          <w:b/>
          <w:szCs w:val="28"/>
        </w:rPr>
        <w:t xml:space="preserve">      </w:t>
      </w:r>
      <w:r w:rsidR="00576835" w:rsidRPr="0022213F">
        <w:rPr>
          <w:b/>
          <w:szCs w:val="28"/>
        </w:rPr>
        <w:t xml:space="preserve">THÔNG TIN THUỐC THÁNG </w:t>
      </w:r>
      <w:r w:rsidR="004F7696">
        <w:rPr>
          <w:b/>
          <w:szCs w:val="28"/>
        </w:rPr>
        <w:t>0</w:t>
      </w:r>
      <w:r w:rsidR="00A9110C">
        <w:rPr>
          <w:b/>
          <w:szCs w:val="28"/>
        </w:rPr>
        <w:t>3</w:t>
      </w:r>
      <w:r w:rsidR="004B36CA">
        <w:rPr>
          <w:b/>
          <w:szCs w:val="28"/>
        </w:rPr>
        <w:t>/2021</w:t>
      </w:r>
    </w:p>
    <w:p w:rsidR="004B36CA" w:rsidRPr="00C1075B" w:rsidRDefault="004B36CA" w:rsidP="00923156">
      <w:pPr>
        <w:pStyle w:val="ListParagraph"/>
        <w:numPr>
          <w:ilvl w:val="0"/>
          <w:numId w:val="8"/>
        </w:numPr>
        <w:rPr>
          <w:rFonts w:cs="Times New Roman"/>
          <w:b/>
          <w:color w:val="FF0000"/>
          <w:szCs w:val="28"/>
        </w:rPr>
      </w:pPr>
      <w:r w:rsidRPr="00C1075B">
        <w:rPr>
          <w:rFonts w:eastAsia="Times New Roman" w:cs="Times New Roman"/>
          <w:b/>
          <w:bCs/>
          <w:color w:val="FF0000"/>
          <w:szCs w:val="28"/>
        </w:rPr>
        <w:t>Nhãn sản phẩm chứa calci gây nhầm lẫn dẫn đến nhập viện</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050505"/>
          <w:sz w:val="24"/>
          <w:szCs w:val="24"/>
        </w:rPr>
        <w:t>Hiện tại, nhãn sản phẩm chứa calci có thể ghi liều dưới dạng calci nguyên tố hoặc muối calci hoặc cả hai. Đã có báo cáo về các trường hợp nhầm lẫn liều ghi trên nhãn, và trong một số trường hợp, việc sử dụng quá liều ngoài ý muốn đã dẫn tới một số bệnh nhân cần nhập khoa Hồi sức tích cực. Điểm tin này chia sẻ một số biến cố nhằm nâng cao nhận thức về các nguy cơ do sự thiếu tiêu chuẩn hóa nhãn sản phẩm chứa calci, cũng như đưa ra một số biện pháp để cải thiện thực hành ghi nhãn.</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 </w:t>
      </w:r>
      <w:r w:rsidRPr="00923156">
        <w:rPr>
          <w:rFonts w:eastAsia="Times New Roman" w:cs="Times New Roman"/>
          <w:b/>
          <w:bCs/>
          <w:color w:val="414141"/>
          <w:sz w:val="24"/>
          <w:szCs w:val="24"/>
        </w:rPr>
        <w:t>Các biến cố</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Trong 3 biến cố riêng lẻ, calci carbonat 1250mg (muối calci cung cấp 500mg calci nguyên tố) được kê cho bệnh nhân xuất viện sau phẫu thuật cắt tuyến cận giáp hoặc tuyến giáp. Trong mỗi trường hợp, bệnh nhân đã mua sản phẩm có nhãn ghi “calci carbonat 500mg”. Mỗi bệnh nhân đã sử dụng 2,5 viên cho một liều, mà không biết rằng số 500 mg trên mặt chính của nhãn thể hiện liều dùng dưới dạng calci nguyên tố (tức là chỉ 1 viên là đủ liều được kê). Cả 3 bệnh nhân đều được đưa vào khoa hồi sức tích cực để điều trị tăng calci huyết do sử dụng quá liều.</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Ở biến cố thứ 4, một nhà thuốc đã mắc sai sót trong việc cấp phát và đóng gói thuốc của một bệnh nhân. Đơn thuốc calci carbonat 1250mg 3 lần một ngày đã được nhà thuốc cấp và đóng gói 2,5 viên cho một liều, do nhãn sản phẩm ghi “calci carbonat 500mg”. Bệnh nhân không gặp tác hại nào, tuy nhiên bệnh nhân đã phải làm thêm một số xét nghiệm máu.</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 </w:t>
      </w:r>
      <w:r w:rsidRPr="00923156">
        <w:rPr>
          <w:rFonts w:eastAsia="Times New Roman" w:cs="Times New Roman"/>
          <w:b/>
          <w:bCs/>
          <w:color w:val="414141"/>
          <w:sz w:val="24"/>
          <w:szCs w:val="24"/>
        </w:rPr>
        <w:t>Tổng quan</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Calci là một khoáng chất thiết yếu, đóng vai trò trong chuyển hóa xương cũng như các quá trình điện hóa sinh lý khác. Liều calci thường được kê hoặc khuyến cáo là 500-1000mg calci nguyên tố để đạt được mức khuyến cáo 1000-1200mg calci nguyên tố hàng ngày cho hầu hết người lớn. Các sản phẩm thực phẩm bổ sung cung cấp calci dưới dạng hợp chất (muối calci), phổ biến là calci carbonat và calci citrat. Calci carbonat chứa 40% calci nguyên tố (viên 1250mg calci carbonat cung cấp 500mg calci nguyên tố), còn calci citrat chứa xấp xỉ 20% calci nguyên tố (viên 1250mg calci citrat cung cấp 250mg calci nguyên tố).</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Hiện tại không có quy chuẩn về việc thể hiện liều trong một viên dưới dạng nào trên mặt chính của nhãn sản phẩm. Việc hiểu sai nhãn sản phẩm do thực hành ghi nhãn chưa tốt có thể dẫn tới việc sử dụng quá hoặc dưới liều, và dẫn đến hậu quả có hại. Do một số sản phẩm, bao gồm thực phẩm bổ sung calci, có thể được mua mà không kê đơn từ nhiều cửa hàng bán lẻ hoặc kênh thương mại trực tuyến, nên bệnh nhân có thể không được dược sĩ hỗ trợ khi lựa chọn sản phẩm.</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Phân tích các biến cố liên quan tới calci carbonat đã chỉ ra yếu tố góp phần chủ yếu gây sai sót trong sử dụng thuốc là thông tin gây nhầm lẫn trên mặt trước của nhãn sản phẩm.</w:t>
      </w:r>
    </w:p>
    <w:p w:rsidR="004B36CA" w:rsidRPr="004B36CA" w:rsidRDefault="004B36CA" w:rsidP="004B36CA">
      <w:pPr>
        <w:spacing w:after="0" w:line="240" w:lineRule="auto"/>
        <w:jc w:val="both"/>
        <w:rPr>
          <w:rFonts w:eastAsia="Times New Roman" w:cs="Times New Roman"/>
          <w:color w:val="414141"/>
          <w:sz w:val="20"/>
          <w:szCs w:val="20"/>
        </w:rPr>
      </w:pPr>
      <w:r w:rsidRPr="004B36CA">
        <w:rPr>
          <w:rFonts w:eastAsia="Times New Roman" w:cs="Times New Roman"/>
          <w:color w:val="414141"/>
          <w:sz w:val="24"/>
          <w:szCs w:val="24"/>
        </w:rPr>
        <w:t> </w:t>
      </w:r>
      <w:r w:rsidRPr="00C1075B">
        <w:rPr>
          <w:rFonts w:eastAsia="Times New Roman" w:cs="Times New Roman"/>
          <w:b/>
          <w:bCs/>
          <w:color w:val="414141"/>
          <w:sz w:val="20"/>
          <w:szCs w:val="20"/>
        </w:rPr>
        <w:t>KHUYẾN CÁO</w:t>
      </w:r>
    </w:p>
    <w:p w:rsidR="004B36CA" w:rsidRPr="004B36CA" w:rsidRDefault="004B36CA" w:rsidP="004B36CA">
      <w:pPr>
        <w:spacing w:after="0" w:line="240" w:lineRule="auto"/>
        <w:jc w:val="both"/>
        <w:rPr>
          <w:rFonts w:eastAsia="Times New Roman" w:cs="Times New Roman"/>
          <w:color w:val="414141"/>
          <w:sz w:val="24"/>
          <w:szCs w:val="24"/>
        </w:rPr>
      </w:pPr>
      <w:r w:rsidRPr="00923156">
        <w:rPr>
          <w:rFonts w:eastAsia="Times New Roman" w:cs="Times New Roman"/>
          <w:b/>
          <w:bCs/>
          <w:i/>
          <w:iCs/>
          <w:color w:val="414141"/>
          <w:sz w:val="24"/>
          <w:szCs w:val="24"/>
        </w:rPr>
        <w:t>Nhà sản xuất</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Thực hiện chuẩn hóa việc ghi nhãn, thể hiện rõ liều dùng dưới cả hai dạng calci nguyên tố và muối calci. Việc này thúc đẩy tính nhất quán trong ghi nhãn, nhằm giảm thiểu nguy cơ dùng sai liều thuốc. Mặt trước nhãn nên ghi rõ hàm lượng dưới cả dạng nguyên tố và dạng muối. Nên thêm bảng thông tin sản phẩm để hạn chế tối đa việc hiểu sai liều lượng.</w:t>
      </w:r>
    </w:p>
    <w:p w:rsidR="004B36CA" w:rsidRPr="004B36CA" w:rsidRDefault="004B36CA" w:rsidP="004B36CA">
      <w:pPr>
        <w:spacing w:after="0" w:line="240" w:lineRule="auto"/>
        <w:jc w:val="both"/>
        <w:rPr>
          <w:rFonts w:eastAsia="Times New Roman" w:cs="Times New Roman"/>
          <w:color w:val="414141"/>
          <w:sz w:val="24"/>
          <w:szCs w:val="24"/>
        </w:rPr>
      </w:pPr>
      <w:r w:rsidRPr="00923156">
        <w:rPr>
          <w:rFonts w:eastAsia="Times New Roman" w:cs="Times New Roman"/>
          <w:b/>
          <w:bCs/>
          <w:i/>
          <w:iCs/>
          <w:color w:val="414141"/>
          <w:sz w:val="24"/>
          <w:szCs w:val="24"/>
        </w:rPr>
        <w:t>Dược sĩ cộng đồng</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Nếu có thể, chỉ mua và lưu trữ những sản phẩm ghi rõ và chính xác hàm lượng calci ở mặt trước nhãn.</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lastRenderedPageBreak/>
        <w:t>Đặt biển chỉ dẫn ở nơi bày bán sản phẩm calci khuyến cáo người mua tham khảo tư vấn của dược sĩ để chọn đúng sản phẩm và liều.</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Khi người bệnh hỏi về thông tin sản phẩm chứa calci: (1) nhắc nhở người bệnh rằng liều calci nguyên tố không giống liều calci dạng muối và đảm bảo họ hiểu đúng liều cần dùng. Nhấn mạnh rằng người bệnh cần hỏi rõ liều calci họ cần dùng được thể hiện dưới dạng nguyên tố hay dưới dạng muối khi họ tiếp xúc với các nhân viên y tế khác.</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Hỏi lại người kê đơn để làm rõ đơn thuốc ghi liều dưới dạng calci nguyên tố hay muối calci (và làm rõ là muối gì).</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Yêu cầu nhà cung cấp phần mềm kê đơn hiển thị hàm lượng calci nguyên tố đi kèm với thông tin sản phẩm muối calci trên màn hình lựa chọn.</w:t>
      </w:r>
    </w:p>
    <w:p w:rsidR="004B36CA" w:rsidRPr="004B36CA" w:rsidRDefault="004B36CA" w:rsidP="004B36CA">
      <w:pPr>
        <w:spacing w:after="0" w:line="240" w:lineRule="auto"/>
        <w:jc w:val="both"/>
        <w:rPr>
          <w:rFonts w:eastAsia="Times New Roman" w:cs="Times New Roman"/>
          <w:color w:val="414141"/>
          <w:sz w:val="24"/>
          <w:szCs w:val="24"/>
        </w:rPr>
      </w:pPr>
      <w:r w:rsidRPr="00923156">
        <w:rPr>
          <w:rFonts w:eastAsia="Times New Roman" w:cs="Times New Roman"/>
          <w:b/>
          <w:bCs/>
          <w:i/>
          <w:iCs/>
          <w:color w:val="414141"/>
          <w:sz w:val="24"/>
          <w:szCs w:val="24"/>
        </w:rPr>
        <w:t>Bác sĩ kê đơn</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Trước khi kê đơn hoặc gợi ý sản phẩm, cần chỉ ra cho bệnh nhân về các dạng khác nhau của calci hiện có.</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Cung cấp hướng dẫn rõ ràng bằng văn bản cho bệnh nhân, bao gồm hàm lượng calci nguyên tố, muối nên dùng (nếu có), liều lượng và số lần dùng.</w:t>
      </w:r>
    </w:p>
    <w:p w:rsidR="004B36CA" w:rsidRPr="004B36CA" w:rsidRDefault="004B36CA" w:rsidP="004B36CA">
      <w:pPr>
        <w:spacing w:after="0" w:line="240" w:lineRule="auto"/>
        <w:jc w:val="both"/>
        <w:rPr>
          <w:rFonts w:eastAsia="Times New Roman" w:cs="Times New Roman"/>
          <w:color w:val="414141"/>
          <w:sz w:val="24"/>
          <w:szCs w:val="24"/>
        </w:rPr>
      </w:pPr>
      <w:r w:rsidRPr="004B36CA">
        <w:rPr>
          <w:rFonts w:eastAsia="Times New Roman" w:cs="Times New Roman"/>
          <w:color w:val="414141"/>
          <w:sz w:val="24"/>
          <w:szCs w:val="24"/>
        </w:rPr>
        <w:t>Khuyến cáo bệnh nhân tham khảo ý kiến dược sĩ khi chọn sản phẩm chứa calci và tính toán số viên cần dùng để đảm bào dùng đúng liều khuyến cáo.</w:t>
      </w:r>
    </w:p>
    <w:p w:rsidR="004B36CA" w:rsidRPr="004B36CA" w:rsidRDefault="004B36CA" w:rsidP="004B36CA">
      <w:pPr>
        <w:spacing w:after="0" w:line="240" w:lineRule="auto"/>
        <w:jc w:val="both"/>
        <w:rPr>
          <w:rFonts w:eastAsia="Times New Roman" w:cs="Times New Roman"/>
          <w:color w:val="414141"/>
          <w:szCs w:val="28"/>
        </w:rPr>
      </w:pPr>
      <w:r w:rsidRPr="004B36CA">
        <w:rPr>
          <w:rFonts w:eastAsia="Times New Roman" w:cs="Times New Roman"/>
          <w:color w:val="414141"/>
          <w:sz w:val="24"/>
          <w:szCs w:val="24"/>
        </w:rPr>
        <w:t>Yêu cầu nhà cung cấp phần mềm lưu trữ bệnh án hiển thị cả hàm lượng calci nguyên tố và muối calci trong sản phẩm trên màn hình</w:t>
      </w:r>
      <w:r w:rsidRPr="004B36CA">
        <w:rPr>
          <w:rFonts w:eastAsia="Times New Roman" w:cs="Times New Roman"/>
          <w:color w:val="414141"/>
          <w:szCs w:val="28"/>
        </w:rPr>
        <w:t>.</w:t>
      </w:r>
    </w:p>
    <w:p w:rsidR="00C1075B" w:rsidRPr="00C1075B" w:rsidRDefault="00C1075B" w:rsidP="00C1075B">
      <w:pPr>
        <w:pStyle w:val="ListParagraph"/>
        <w:numPr>
          <w:ilvl w:val="0"/>
          <w:numId w:val="8"/>
        </w:numPr>
        <w:spacing w:after="0" w:line="240" w:lineRule="auto"/>
        <w:rPr>
          <w:rFonts w:ascii="Arial" w:eastAsia="Times New Roman" w:hAnsi="Arial" w:cs="Arial"/>
          <w:b/>
          <w:bCs/>
          <w:color w:val="FF0000"/>
          <w:sz w:val="24"/>
          <w:szCs w:val="24"/>
        </w:rPr>
      </w:pPr>
      <w:r w:rsidRPr="00C1075B">
        <w:rPr>
          <w:rFonts w:ascii="Arial" w:eastAsia="Times New Roman" w:hAnsi="Arial" w:cs="Arial"/>
          <w:b/>
          <w:bCs/>
          <w:color w:val="FF0000"/>
          <w:sz w:val="24"/>
          <w:szCs w:val="24"/>
        </w:rPr>
        <w:t>EMA: Kết luận về vắc-xin Covid-19 AstraZeneca và biến cố thuyên tắc - huyết khối</w:t>
      </w:r>
    </w:p>
    <w:p w:rsidR="00C1075B" w:rsidRPr="00C1075B" w:rsidRDefault="00C1075B" w:rsidP="00C1075B">
      <w:pPr>
        <w:spacing w:after="0" w:line="240" w:lineRule="auto"/>
        <w:ind w:firstLine="360"/>
        <w:rPr>
          <w:rFonts w:ascii="Arial" w:eastAsia="Times New Roman" w:hAnsi="Arial" w:cs="Arial"/>
          <w:color w:val="414141"/>
          <w:sz w:val="18"/>
          <w:szCs w:val="18"/>
        </w:rPr>
      </w:pPr>
      <w:r w:rsidRPr="00C1075B">
        <w:rPr>
          <w:rFonts w:ascii="Arial" w:eastAsia="Times New Roman" w:hAnsi="Arial" w:cs="Arial"/>
          <w:b/>
          <w:bCs/>
          <w:color w:val="414141"/>
          <w:sz w:val="20"/>
          <w:szCs w:val="20"/>
        </w:rPr>
        <w:t>EMA kết luận lợi ích của vắc-xin Covid-19 AstraZenca vẫn vượt trội nguy cơ nhưng có thể có mối liên quan với một số trường hợp huyết khối kèm theo giảm tiểu cầu hiếm gặp.</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Ngày 18/03/2021, Cơ Quan Quản lý Dược phẩm Châu ÂU (EMA) đã đưa ra kết luận về nguy cơ huyết khối ở bệnh nhân tiêm chủng vắc-xin Covid-19 AstraZeneca sau khi đánh giá sơ bộ về các báo cáo biến cố này. EMA kết luận:</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i/>
          <w:iCs/>
          <w:color w:val="0000FF"/>
          <w:sz w:val="18"/>
          <w:szCs w:val="18"/>
        </w:rPr>
        <w:t xml:space="preserve">      </w:t>
      </w:r>
      <w:r w:rsidRPr="00C1075B">
        <w:rPr>
          <w:rFonts w:ascii="Arial" w:eastAsia="Times New Roman" w:hAnsi="Arial" w:cs="Arial"/>
          <w:i/>
          <w:iCs/>
          <w:color w:val="0000FF"/>
          <w:sz w:val="18"/>
          <w:szCs w:val="18"/>
        </w:rPr>
        <w:t>- Lợi ích của việc tiêm chủng vắc-xin trong việc ngăn chặn sự lan rộng của Covid-19 (bản thân Covid-19 cũng gây ra các rối loạn đông máu và có thể dẫn đến tử vong) vẫn vượt trội so với các nguy cơ gặp tác dụng bất lợi</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i/>
          <w:iCs/>
          <w:color w:val="0000FF"/>
          <w:sz w:val="18"/>
          <w:szCs w:val="18"/>
        </w:rPr>
        <w:t xml:space="preserve">      </w:t>
      </w:r>
      <w:r w:rsidRPr="00C1075B">
        <w:rPr>
          <w:rFonts w:ascii="Arial" w:eastAsia="Times New Roman" w:hAnsi="Arial" w:cs="Arial"/>
          <w:i/>
          <w:iCs/>
          <w:color w:val="0000FF"/>
          <w:sz w:val="18"/>
          <w:szCs w:val="18"/>
        </w:rPr>
        <w:t>- Việc sử dụng vắc-xin không liên quan đến tăng nguy cơ xuất hiện biến cố thuyên tắc - huyết khối nói chung ở người tiêm vắc-xin</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i/>
          <w:iCs/>
          <w:color w:val="0000FF"/>
          <w:sz w:val="18"/>
          <w:szCs w:val="18"/>
        </w:rPr>
        <w:t xml:space="preserve">      </w:t>
      </w:r>
      <w:r w:rsidRPr="00C1075B">
        <w:rPr>
          <w:rFonts w:ascii="Arial" w:eastAsia="Times New Roman" w:hAnsi="Arial" w:cs="Arial"/>
          <w:i/>
          <w:iCs/>
          <w:color w:val="0000FF"/>
          <w:sz w:val="18"/>
          <w:szCs w:val="18"/>
        </w:rPr>
        <w:t xml:space="preserve"> Hiện không có bằng chứng cho thấy có vấn đề với một số lô vắc-xin nhất định hoặc liên quan đến một cơ sở sản xuất cụ thể</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i/>
          <w:iCs/>
          <w:color w:val="0000FF"/>
          <w:sz w:val="18"/>
          <w:szCs w:val="18"/>
        </w:rPr>
        <w:t xml:space="preserve">       </w:t>
      </w:r>
      <w:r w:rsidRPr="00C1075B">
        <w:rPr>
          <w:rFonts w:ascii="Arial" w:eastAsia="Times New Roman" w:hAnsi="Arial" w:cs="Arial"/>
          <w:i/>
          <w:iCs/>
          <w:color w:val="0000FF"/>
          <w:sz w:val="18"/>
          <w:szCs w:val="18"/>
        </w:rPr>
        <w:t xml:space="preserve">- Tuy nhiên, vắc-xin có thể liên quan đến một số ca huyết khối rất hiếm gặp, có giảm tiểu cầu, kèm hoặc không kèm theo </w:t>
      </w:r>
      <w:r>
        <w:rPr>
          <w:rFonts w:ascii="Arial" w:eastAsia="Times New Roman" w:hAnsi="Arial" w:cs="Arial"/>
          <w:i/>
          <w:iCs/>
          <w:color w:val="0000FF"/>
          <w:sz w:val="18"/>
          <w:szCs w:val="18"/>
        </w:rPr>
        <w:t xml:space="preserve"> </w:t>
      </w:r>
      <w:r w:rsidRPr="00C1075B">
        <w:rPr>
          <w:rFonts w:ascii="Arial" w:eastAsia="Times New Roman" w:hAnsi="Arial" w:cs="Arial"/>
          <w:i/>
          <w:iCs/>
          <w:color w:val="0000FF"/>
          <w:sz w:val="18"/>
          <w:szCs w:val="18"/>
        </w:rPr>
        <w:t>xuất huyết, trong đó có huyết khối xoang tĩnh mạch não (CVST).</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Trong khoảng 20 triệu người đã tiêm vắc-xin Covid-19 AstraZeneca ở Anh và ở các nước trong Liên minh Châu Âu tính đến ngày 16/03/2021, có 7 ca đông máu nội mạch lan tỏa (DIC) và 18 ca huyết khối xoang tĩnh mạch não. Mối quan hệ nhân quả giữa các biến cố này và việc tiêm vắc-xin chưa được chứng minh nhưng cũng có thể có mối liên quan đến vắc-xin và cần đánh giá thêm.</w:t>
      </w:r>
    </w:p>
    <w:p w:rsid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Theo Ủy ban Đánh giá nguy cơ Cảnh giác Dược (PRAC) của EMA, tổng số ca gặp biến cố thuyên tắc - huyết khối sau khi tiêm vắc-xin (cả trong nghiên cứu và sau khi vắc-xin được cấp phép) là 469, vẫn thấp hơn tỷ lệ ghi nhận trong quần thể dân cư chung. Điều đó cho phép PRAC xác nhận không có sự tăng nguy cơ huyết khối nói chung sau khi tiêm vắc-xin. Tuy nhiên, ở người trẻ tuổi, vẫn còn một số quan ngại liên quan đến những ca huyết khối hiếm gặp ở trên. PRAC xem xét chi tiết các báo cáo CVST và DIC từ các quốc gia thành viên, trong đó, có 9 ca tử vong. Hầu hết các ca này xảy ra ở người dưới 55 tuổi và phần lớn là nữ giới. Mặc dù các biến cố trên hiếm gặp nhưng bản thân Covid-19 cũng có thể gây ra các vấn đề đông máu ở bệnh nhân. Vì vậy, rất khó xác định tỷ lệ xuất hiện biến cố huyết khối ở người không tiêm chủng. Tuy nhiên, dựa trên dữ liệu tiền Covid-19, có thể ước tính khoảng dưới 1 ca DIC được báo cáo ở đối tượng người dưới 50 tuổi trong 14 ngày sau tiêm vắc-xin nhưng đến ngày 16/03/2021, thực tế ghi nhận 5 ca. Tương tự, ước tính có 1,35 ca CVST ở độ tuổi tương tự nhưng đến ngày lấy mốc 16/03/2021, ghi nhận thực tế 12 ca. Sự mất cân bằng giữa con số thực tế và ước đoán này không xuất hiện ở quần thể người cao tuổi tiêm vắc-xin.</w:t>
      </w:r>
    </w:p>
    <w:p w:rsidR="00C1075B" w:rsidRPr="00C1075B" w:rsidRDefault="00C1075B" w:rsidP="00C1075B">
      <w:pPr>
        <w:spacing w:after="0" w:line="240" w:lineRule="auto"/>
        <w:jc w:val="both"/>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PRAC cho rằng hiệu quả của vắc-xin Covid-19 AstraZeneca trong việc giảm thiểu tỷ lệ nhập viện và tử vong do Covid-19 vẫn cao hơn khả năng thực sự rất nhỏ gây DIC hoặc CVST. Tuy nhiên, với những phát hiện này, bệnh nhân cần được cảnh báo về các hội chứng trên và nếu có dấu hiệu, triệu chứng cảnh báo, bệnh nhân cần đến cơ sở khám, chữa bệnh ngay. PRAC khuyến cáo cập nhật thông tin sản phẩm của vắc-xin Covid-19 AstraZeneca để cảnh bảo nguy cơ này. PRAC vẫn đang tiếp tục theo dõi chặt chẽ các báo cáo huyết khối và có thể tiến hành thêm nghiên cứu để cung cấp thêm dữ liệu về xét nghiệm cũng như bằng chứng từ nghiên cứu đời thực.</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b/>
          <w:bCs/>
          <w:i/>
          <w:iCs/>
          <w:color w:val="414141"/>
          <w:sz w:val="18"/>
          <w:szCs w:val="18"/>
        </w:rPr>
        <w:t xml:space="preserve">        </w:t>
      </w:r>
      <w:r w:rsidRPr="00C1075B">
        <w:rPr>
          <w:rFonts w:ascii="Arial" w:eastAsia="Times New Roman" w:hAnsi="Arial" w:cs="Arial"/>
          <w:b/>
          <w:bCs/>
          <w:i/>
          <w:iCs/>
          <w:color w:val="414141"/>
          <w:sz w:val="18"/>
          <w:szCs w:val="18"/>
        </w:rPr>
        <w:t>Thông tin cho người bệnh:</w:t>
      </w:r>
    </w:p>
    <w:p w:rsidR="00C1075B" w:rsidRPr="00C1075B" w:rsidRDefault="00C1075B" w:rsidP="00C1075B">
      <w:pPr>
        <w:pStyle w:val="ListParagraph"/>
        <w:spacing w:after="0" w:line="240" w:lineRule="auto"/>
        <w:rPr>
          <w:rFonts w:ascii="Arial" w:eastAsia="Times New Roman" w:hAnsi="Arial" w:cs="Arial"/>
          <w:color w:val="414141"/>
          <w:sz w:val="18"/>
          <w:szCs w:val="18"/>
        </w:rPr>
      </w:pPr>
      <w:r w:rsidRPr="00C1075B">
        <w:rPr>
          <w:rFonts w:ascii="Arial" w:eastAsia="Times New Roman" w:hAnsi="Arial" w:cs="Arial"/>
          <w:color w:val="414141"/>
          <w:sz w:val="18"/>
          <w:szCs w:val="18"/>
        </w:rPr>
        <w:t>- Vắc-xin Covid-19 AstraZenecakhông liên quan đến tăng nguy cơ huyết khối nói chung.</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lastRenderedPageBreak/>
        <w:t xml:space="preserve">              </w:t>
      </w:r>
      <w:r w:rsidRPr="00C1075B">
        <w:rPr>
          <w:rFonts w:ascii="Arial" w:eastAsia="Times New Roman" w:hAnsi="Arial" w:cs="Arial"/>
          <w:color w:val="414141"/>
          <w:sz w:val="18"/>
          <w:szCs w:val="18"/>
        </w:rPr>
        <w:t xml:space="preserve">- Có một trường hợp rất hiếm gặp xuất hiện huyết khối kèm theo giảm tiểu cầu sau tiêm chủng. Các báo cáo </w:t>
      </w:r>
      <w:bookmarkStart w:id="0" w:name="_GoBack"/>
      <w:bookmarkEnd w:id="0"/>
      <w:r w:rsidRPr="00C1075B">
        <w:rPr>
          <w:rFonts w:ascii="Arial" w:eastAsia="Times New Roman" w:hAnsi="Arial" w:cs="Arial"/>
          <w:color w:val="414141"/>
          <w:sz w:val="18"/>
          <w:szCs w:val="18"/>
        </w:rPr>
        <w:t>này phần lớn ở phụ nữ dưới 55 tuổi.</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Do tình trạng dịch Covid-19 rất nghiêm trọng và vẫn đang lan rộng, lợi ích của vắc-xin Covid-19 AstraZeneca này trong việc phòng ngừa bệnh vẫn vượt trội nguy cơ tác dụng bất lợi.</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Tuy nhiên, sau khi tiêm vắc-xin Covid-19 AstraZeneca, nếu người bệnh xuất hiện các dấu hiệu sau cần đến cơ sở khám, chữa bệnh ngay</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Khó thở</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Đau ngực hoặc đau dạ dày</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 Sưng hoặc lạnh tay hoặc chân</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Đau đầu mức độ nặng hoặc nặn</w:t>
      </w:r>
      <w:r>
        <w:rPr>
          <w:rFonts w:ascii="Arial" w:eastAsia="Times New Roman" w:hAnsi="Arial" w:cs="Arial"/>
          <w:color w:val="414141"/>
          <w:sz w:val="18"/>
          <w:szCs w:val="18"/>
        </w:rPr>
        <w:t xml:space="preserve">g hơn hoặc mờ mắt sau tiêm </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Chảy máu kéo dài</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Xuất hiện nhiều vết bầm tím nhỏ, chấm đỏ hoặc tím hoặc tụ máu dưới da</w:t>
      </w:r>
    </w:p>
    <w:p w:rsid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b/>
          <w:bCs/>
          <w:i/>
          <w:iCs/>
          <w:color w:val="414141"/>
          <w:sz w:val="18"/>
          <w:szCs w:val="18"/>
        </w:rPr>
        <w:t>Thông tin cho cán bộ y tế:</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xml:space="preserve"> Các trường hợp giảm tiểu cầu và huyết khối, trong đó, một số là huyết khối tĩnh mạch mạc treo tràng hoặc mạch não/ xoang tĩnh mạch não đã được báo cáo ở người sau tiêm chủng vắc-xin Covid-19 AstraZeneca. Phần lớn báo cáo ở phụ nữ dưới 55 tuổi. Tuy nhiên, điều này một phần có thể do đây là các đối tượng được ưu tiên tiêm chủng vắc-xin trước ở các quốc gia thành viên.</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Số lượng báo cáo thuyên tắc - huyết khối vượt quá con số ước tính nhưng chưa chứng minh được mối quan hệ nhân quả và do đó, không thể loại trừ. Tuy nhiên, do các biến cố hiếm gặp và việc xác định tỷ lệ chính xác xuất hiện huyết khối trong quần thể người không tiêm vắc-xin rất khó, mối liên quan giữa việc tiêm vắc-xin Covid-19 AstraZeneca và các biến cố thuyên tắc - huyết khối ở mức không chắc chắn.</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EMA tiếp tục nhận định lợi ích của vắc-xin Covid-19 AstraZeneca vẫn vượt tội nguy cơ và nhìn chung, không có mối liên quan với biến cố thuyên tắc - huyết khối nói chung. Tuy nhiên, thông tin sản phẩm của vắc-xin Covid-19 AstraZeneca sẽ được cập nhật thông tin về các ca CVST và DIC có thể xảy ra.</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Cán bộ y tế cần cảnh báo bệnh nhân về nguy cơ thuyên tắc - huyết khối, DIC và CVST có thể xuất hiện sau tiêm chủng.</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 Người bệnh sau tiêm chủng cần đến cơ sở khám, chữa bệnh ngay khi xuất hiện các triệu chứng thuyên tắc - huyết khối, đặc biệt là dấu hiệu giảm tiểu cầu và xuất hiện cục máu đông trong não như dễ bầm tím hoặc chảy máu, đau đầu nặng hoặc kéo dài, đặc biệt sau 3 ngày tiêm chủng.</w:t>
      </w:r>
    </w:p>
    <w:p w:rsidR="00C1075B" w:rsidRPr="00C1075B" w:rsidRDefault="00C1075B" w:rsidP="00C1075B">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Pr="00C1075B">
        <w:rPr>
          <w:rFonts w:ascii="Arial" w:eastAsia="Times New Roman" w:hAnsi="Arial" w:cs="Arial"/>
          <w:color w:val="414141"/>
          <w:sz w:val="18"/>
          <w:szCs w:val="18"/>
        </w:rPr>
        <w:t>Cùng ngày 18/03/2021, Cơ quan Quản lý Dược phẩm Anh (MHRA) cũng xác nhận lợi ích của vắc-xin Covid-19 AstraZeneca vẫn vượt trội nguy cơ. Bệnh nhân được khuyến cáo đi tiêm theo kế hoạch. Theo MHRA, 5 trường hợp CVST được báo cáo ở Anh vẫn đang tiếp tục được đánh giá. Tỷ lệ biến cố được ước tính &lt; 1 / 1 triệu người tiêm vắc-xin. Biến cố này cũng có thể tự xảy ra nên mối quan hệ nhân quả giữa việc tiêm vắc-xin Covid-19 AstraZeneca và biến cố xảy ra chưa được chứng minh.</w:t>
      </w:r>
    </w:p>
    <w:p w:rsidR="00C1075B" w:rsidRPr="002C05D5" w:rsidRDefault="002C05D5" w:rsidP="002C05D5">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00C1075B" w:rsidRPr="002C05D5">
        <w:rPr>
          <w:rFonts w:ascii="Arial" w:eastAsia="Times New Roman" w:hAnsi="Arial" w:cs="Arial"/>
          <w:color w:val="414141"/>
          <w:sz w:val="18"/>
          <w:szCs w:val="18"/>
        </w:rPr>
        <w:t>Nguồn: https://www.ema.europa.eu/en/news/covid-19-vaccine-astrazeneca-benefits-still-outweigh-risks-despite-possible-link-rare-blood-clots</w:t>
      </w:r>
    </w:p>
    <w:p w:rsidR="00DD36C1" w:rsidRPr="002C05D5" w:rsidRDefault="002C05D5" w:rsidP="002C05D5">
      <w:pPr>
        <w:spacing w:after="0" w:line="240" w:lineRule="auto"/>
        <w:rPr>
          <w:rFonts w:ascii="Arial" w:eastAsia="Times New Roman" w:hAnsi="Arial" w:cs="Arial"/>
          <w:color w:val="414141"/>
          <w:sz w:val="18"/>
          <w:szCs w:val="18"/>
        </w:rPr>
      </w:pPr>
      <w:r>
        <w:rPr>
          <w:rFonts w:ascii="Arial" w:eastAsia="Times New Roman" w:hAnsi="Arial" w:cs="Arial"/>
          <w:color w:val="414141"/>
          <w:sz w:val="18"/>
          <w:szCs w:val="18"/>
        </w:rPr>
        <w:t xml:space="preserve">           </w:t>
      </w:r>
      <w:r w:rsidR="00C1075B" w:rsidRPr="002C05D5">
        <w:rPr>
          <w:rFonts w:ascii="Arial" w:eastAsia="Times New Roman" w:hAnsi="Arial" w:cs="Arial"/>
          <w:color w:val="414141"/>
          <w:sz w:val="18"/>
          <w:szCs w:val="18"/>
        </w:rPr>
        <w:t>https://www.gov.uk/government/news/uk-regulator-confirms-that-people-should-continue-to-receive-the-covid-19-vaccine-astrazeneca</w:t>
      </w:r>
    </w:p>
    <w:p w:rsidR="004F7696" w:rsidRPr="00C45CA7" w:rsidRDefault="0045414D" w:rsidP="009F4750">
      <w:pPr>
        <w:ind w:firstLine="720"/>
        <w:rPr>
          <w:i/>
          <w:sz w:val="22"/>
        </w:rPr>
      </w:pPr>
      <w:r w:rsidRPr="00C45CA7">
        <w:rPr>
          <w:rFonts w:eastAsia="Times New Roman" w:cs="Times New Roman"/>
          <w:i/>
          <w:sz w:val="22"/>
        </w:rPr>
        <w:t>Nguồn: Cảnh giác Dược</w:t>
      </w:r>
    </w:p>
    <w:p w:rsidR="002E04B5" w:rsidRPr="00A854A9" w:rsidRDefault="002E04B5" w:rsidP="00506236">
      <w:pPr>
        <w:spacing w:after="0" w:line="240" w:lineRule="auto"/>
        <w:ind w:left="5040"/>
        <w:rPr>
          <w:rFonts w:ascii="Arial" w:eastAsia="Times New Roman" w:hAnsi="Arial" w:cs="Arial"/>
          <w:sz w:val="25"/>
          <w:szCs w:val="25"/>
        </w:rPr>
      </w:pPr>
      <w:r>
        <w:t xml:space="preserve">Sa Đéc, ngày </w:t>
      </w:r>
      <w:r w:rsidR="00DD36C1">
        <w:t>2</w:t>
      </w:r>
      <w:r w:rsidR="00A9110C">
        <w:t>9</w:t>
      </w:r>
      <w:r>
        <w:t xml:space="preserve"> tháng </w:t>
      </w:r>
      <w:r w:rsidR="00506236">
        <w:t>0</w:t>
      </w:r>
      <w:r w:rsidR="00A9110C">
        <w:t>3</w:t>
      </w:r>
      <w:r w:rsidR="00506236">
        <w:t xml:space="preserve"> năm 2021</w:t>
      </w:r>
    </w:p>
    <w:p w:rsidR="00F96B1B" w:rsidRDefault="00F96B1B" w:rsidP="003F2375">
      <w:pPr>
        <w:ind w:left="4320"/>
        <w:jc w:val="both"/>
      </w:pPr>
    </w:p>
    <w:p w:rsidR="00F96B1B" w:rsidRDefault="00F96B1B" w:rsidP="003F2375">
      <w:pPr>
        <w:ind w:left="4320"/>
        <w:jc w:val="both"/>
      </w:pPr>
    </w:p>
    <w:p w:rsidR="002E04B5" w:rsidRDefault="00A854A9" w:rsidP="009F4750">
      <w:pPr>
        <w:ind w:left="5040" w:firstLine="720"/>
        <w:jc w:val="both"/>
      </w:pPr>
      <w:r>
        <w:t xml:space="preserve"> </w:t>
      </w:r>
      <w:r w:rsidR="00780B56">
        <w:t xml:space="preserve">Ds. </w:t>
      </w:r>
      <w:r w:rsidR="00A9110C">
        <w:t>Đỗ Nam Quan</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8"/>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FA1" w:rsidRDefault="00410FA1" w:rsidP="006511A5">
      <w:pPr>
        <w:spacing w:after="0" w:line="240" w:lineRule="auto"/>
      </w:pPr>
      <w:r>
        <w:separator/>
      </w:r>
    </w:p>
  </w:endnote>
  <w:endnote w:type="continuationSeparator" w:id="0">
    <w:p w:rsidR="00410FA1" w:rsidRDefault="00410FA1"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6511A5" w:rsidRDefault="006511A5">
        <w:pPr>
          <w:pStyle w:val="Footer"/>
          <w:jc w:val="center"/>
        </w:pPr>
        <w:r>
          <w:fldChar w:fldCharType="begin"/>
        </w:r>
        <w:r>
          <w:instrText xml:space="preserve"> PAGE   \* MERGEFORMAT </w:instrText>
        </w:r>
        <w:r>
          <w:fldChar w:fldCharType="separate"/>
        </w:r>
        <w:r w:rsidR="002C05D5">
          <w:rPr>
            <w:noProof/>
          </w:rPr>
          <w:t>1</w:t>
        </w:r>
        <w:r>
          <w:rPr>
            <w:noProof/>
          </w:rPr>
          <w:fldChar w:fldCharType="end"/>
        </w:r>
      </w:p>
    </w:sdtContent>
  </w:sdt>
  <w:p w:rsidR="006511A5" w:rsidRDefault="00651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FA1" w:rsidRDefault="00410FA1" w:rsidP="006511A5">
      <w:pPr>
        <w:spacing w:after="0" w:line="240" w:lineRule="auto"/>
      </w:pPr>
      <w:r>
        <w:separator/>
      </w:r>
    </w:p>
  </w:footnote>
  <w:footnote w:type="continuationSeparator" w:id="0">
    <w:p w:rsidR="00410FA1" w:rsidRDefault="00410FA1"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3"/>
  </w:num>
  <w:num w:numId="5">
    <w:abstractNumId w:val="7"/>
  </w:num>
  <w:num w:numId="6">
    <w:abstractNumId w:val="8"/>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6835"/>
    <w:rsid w:val="000069FA"/>
    <w:rsid w:val="000462D0"/>
    <w:rsid w:val="00056FE1"/>
    <w:rsid w:val="0008656E"/>
    <w:rsid w:val="001866B3"/>
    <w:rsid w:val="001919E4"/>
    <w:rsid w:val="001B5A9F"/>
    <w:rsid w:val="001D76EA"/>
    <w:rsid w:val="001E12CB"/>
    <w:rsid w:val="001E27E5"/>
    <w:rsid w:val="0022213F"/>
    <w:rsid w:val="00236062"/>
    <w:rsid w:val="0026081A"/>
    <w:rsid w:val="002A47FA"/>
    <w:rsid w:val="002C05D5"/>
    <w:rsid w:val="002C3E9C"/>
    <w:rsid w:val="002E04B5"/>
    <w:rsid w:val="003071DA"/>
    <w:rsid w:val="00314D86"/>
    <w:rsid w:val="00373B0B"/>
    <w:rsid w:val="003A150B"/>
    <w:rsid w:val="003A3F2B"/>
    <w:rsid w:val="003C1394"/>
    <w:rsid w:val="003F2375"/>
    <w:rsid w:val="00410FA1"/>
    <w:rsid w:val="0045414D"/>
    <w:rsid w:val="00463CE8"/>
    <w:rsid w:val="004B36CA"/>
    <w:rsid w:val="004D7995"/>
    <w:rsid w:val="004F7696"/>
    <w:rsid w:val="00506236"/>
    <w:rsid w:val="00512D55"/>
    <w:rsid w:val="005264E3"/>
    <w:rsid w:val="00532DB0"/>
    <w:rsid w:val="0053743B"/>
    <w:rsid w:val="00565F4C"/>
    <w:rsid w:val="00576835"/>
    <w:rsid w:val="00595AAF"/>
    <w:rsid w:val="005A787A"/>
    <w:rsid w:val="005B110A"/>
    <w:rsid w:val="005E7E90"/>
    <w:rsid w:val="005F7261"/>
    <w:rsid w:val="005F74B0"/>
    <w:rsid w:val="0060425F"/>
    <w:rsid w:val="00624B07"/>
    <w:rsid w:val="006511A5"/>
    <w:rsid w:val="006B34C0"/>
    <w:rsid w:val="00712F5E"/>
    <w:rsid w:val="0073154B"/>
    <w:rsid w:val="00753CCF"/>
    <w:rsid w:val="007570BC"/>
    <w:rsid w:val="00780B56"/>
    <w:rsid w:val="007A1C65"/>
    <w:rsid w:val="007E7517"/>
    <w:rsid w:val="008204E4"/>
    <w:rsid w:val="008638AE"/>
    <w:rsid w:val="008E49B3"/>
    <w:rsid w:val="00923156"/>
    <w:rsid w:val="00966DE6"/>
    <w:rsid w:val="0098634B"/>
    <w:rsid w:val="009A5D28"/>
    <w:rsid w:val="009B0BA7"/>
    <w:rsid w:val="009C60A6"/>
    <w:rsid w:val="009F4750"/>
    <w:rsid w:val="009F7F5B"/>
    <w:rsid w:val="00A020B0"/>
    <w:rsid w:val="00A45A7D"/>
    <w:rsid w:val="00A854A9"/>
    <w:rsid w:val="00A9110C"/>
    <w:rsid w:val="00AA2B66"/>
    <w:rsid w:val="00AB63E8"/>
    <w:rsid w:val="00AE5A26"/>
    <w:rsid w:val="00BA315B"/>
    <w:rsid w:val="00BD41A7"/>
    <w:rsid w:val="00C01CE0"/>
    <w:rsid w:val="00C1075B"/>
    <w:rsid w:val="00C24AFC"/>
    <w:rsid w:val="00C272B8"/>
    <w:rsid w:val="00C27A80"/>
    <w:rsid w:val="00C45CA7"/>
    <w:rsid w:val="00C46A2B"/>
    <w:rsid w:val="00C521CA"/>
    <w:rsid w:val="00C52559"/>
    <w:rsid w:val="00C84310"/>
    <w:rsid w:val="00CA5332"/>
    <w:rsid w:val="00CE15A1"/>
    <w:rsid w:val="00D038E6"/>
    <w:rsid w:val="00D11A00"/>
    <w:rsid w:val="00D95746"/>
    <w:rsid w:val="00DB19EF"/>
    <w:rsid w:val="00DD36C1"/>
    <w:rsid w:val="00DD733B"/>
    <w:rsid w:val="00DF4F61"/>
    <w:rsid w:val="00E32C92"/>
    <w:rsid w:val="00EC1682"/>
    <w:rsid w:val="00ED0EEE"/>
    <w:rsid w:val="00F152B4"/>
    <w:rsid w:val="00F168F1"/>
    <w:rsid w:val="00F17C57"/>
    <w:rsid w:val="00F25424"/>
    <w:rsid w:val="00F2712A"/>
    <w:rsid w:val="00F847F7"/>
    <w:rsid w:val="00F96B1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56E"/>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3</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464</cp:revision>
  <cp:lastPrinted>2020-11-19T03:17:00Z</cp:lastPrinted>
  <dcterms:created xsi:type="dcterms:W3CDTF">2020-07-26T06:21:00Z</dcterms:created>
  <dcterms:modified xsi:type="dcterms:W3CDTF">2021-03-29T15:36:00Z</dcterms:modified>
</cp:coreProperties>
</file>